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9A45F" w14:textId="31F4A7A9" w:rsidR="008D7041" w:rsidRPr="0054376E" w:rsidRDefault="00D80DD1" w:rsidP="00410E8A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SSHRC </w:t>
      </w:r>
      <w:r w:rsidR="002345DB">
        <w:rPr>
          <w:sz w:val="36"/>
          <w:szCs w:val="36"/>
        </w:rPr>
        <w:t>Grant/Hampton Fund Research Grant</w:t>
      </w:r>
    </w:p>
    <w:p w14:paraId="4EB398F8" w14:textId="47404F3E" w:rsidR="0054376E" w:rsidRDefault="0054376E" w:rsidP="0054376E">
      <w:pPr>
        <w:jc w:val="center"/>
        <w:rPr>
          <w:b/>
          <w:sz w:val="26"/>
          <w:szCs w:val="26"/>
        </w:rPr>
      </w:pPr>
      <w:r w:rsidRPr="00360658">
        <w:rPr>
          <w:b/>
          <w:sz w:val="26"/>
          <w:szCs w:val="26"/>
        </w:rPr>
        <w:t xml:space="preserve"> Extension </w:t>
      </w:r>
      <w:r w:rsidR="002345DB">
        <w:rPr>
          <w:b/>
          <w:sz w:val="26"/>
          <w:szCs w:val="26"/>
        </w:rPr>
        <w:t xml:space="preserve">Request </w:t>
      </w:r>
      <w:r w:rsidRPr="00360658">
        <w:rPr>
          <w:b/>
          <w:sz w:val="26"/>
          <w:szCs w:val="26"/>
        </w:rPr>
        <w:t>Form</w:t>
      </w:r>
    </w:p>
    <w:p w14:paraId="735EEF8C" w14:textId="77777777" w:rsidR="000D390B" w:rsidRDefault="000D390B" w:rsidP="00382C4E">
      <w:pPr>
        <w:rPr>
          <w:i/>
          <w:sz w:val="20"/>
          <w:szCs w:val="20"/>
        </w:rPr>
      </w:pPr>
    </w:p>
    <w:p w14:paraId="24DB387A" w14:textId="5BE3BA07" w:rsidR="00382C4E" w:rsidRDefault="000D390B" w:rsidP="00410E8A">
      <w:pPr>
        <w:ind w:left="-567"/>
        <w:rPr>
          <w:i/>
          <w:sz w:val="20"/>
          <w:szCs w:val="20"/>
        </w:rPr>
      </w:pPr>
      <w:r>
        <w:rPr>
          <w:i/>
          <w:sz w:val="20"/>
          <w:szCs w:val="20"/>
        </w:rPr>
        <w:t>The expectation is that granted funds will be spent by the end of the funding period. In the case of leaves of absence during the funding peri</w:t>
      </w:r>
      <w:r w:rsidR="002145D5">
        <w:rPr>
          <w:i/>
          <w:sz w:val="20"/>
          <w:szCs w:val="20"/>
        </w:rPr>
        <w:t>od, researchers should contact</w:t>
      </w:r>
      <w:r w:rsidR="00380E73">
        <w:rPr>
          <w:i/>
          <w:sz w:val="20"/>
          <w:szCs w:val="20"/>
        </w:rPr>
        <w:t xml:space="preserve"> the relevant agency, e.g.,</w:t>
      </w:r>
      <w:r w:rsidR="002145D5">
        <w:rPr>
          <w:i/>
          <w:sz w:val="20"/>
          <w:szCs w:val="20"/>
        </w:rPr>
        <w:t xml:space="preserve"> SSHRC for a formal extension</w:t>
      </w:r>
      <w:r w:rsidR="003A470E">
        <w:rPr>
          <w:i/>
          <w:sz w:val="20"/>
          <w:szCs w:val="20"/>
        </w:rPr>
        <w:t xml:space="preserve"> (</w:t>
      </w:r>
      <w:r w:rsidR="005176DD">
        <w:rPr>
          <w:i/>
          <w:sz w:val="20"/>
          <w:szCs w:val="20"/>
        </w:rPr>
        <w:t>see</w:t>
      </w:r>
      <w:r w:rsidR="005F57C0">
        <w:rPr>
          <w:i/>
          <w:sz w:val="20"/>
          <w:szCs w:val="20"/>
        </w:rPr>
        <w:t xml:space="preserve"> </w:t>
      </w:r>
      <w:hyperlink r:id="rId7" w:history="1">
        <w:r w:rsidR="005F57C0" w:rsidRPr="005F57C0">
          <w:rPr>
            <w:rStyle w:val="Hyperlink"/>
            <w:i/>
            <w:sz w:val="20"/>
            <w:szCs w:val="20"/>
          </w:rPr>
          <w:t>SSHRC Financial Admin Guide</w:t>
        </w:r>
      </w:hyperlink>
      <w:r w:rsidR="00380E73">
        <w:rPr>
          <w:rStyle w:val="Hyperlink"/>
          <w:i/>
          <w:sz w:val="20"/>
          <w:szCs w:val="20"/>
        </w:rPr>
        <w:t xml:space="preserve"> for guidelines)</w:t>
      </w:r>
      <w:r w:rsidR="005F57C0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However, as there may on occasion be extenuating circumstances leading to residual funds remaining, a short-term (3 month) extension may be requested. </w:t>
      </w:r>
    </w:p>
    <w:p w14:paraId="7C51D845" w14:textId="77777777" w:rsidR="00116BDD" w:rsidRDefault="00116BDD" w:rsidP="00410E8A">
      <w:pPr>
        <w:ind w:left="-567"/>
        <w:rPr>
          <w:i/>
          <w:sz w:val="20"/>
          <w:szCs w:val="20"/>
        </w:rPr>
      </w:pPr>
    </w:p>
    <w:p w14:paraId="6AE2CF6B" w14:textId="6B0F5A60" w:rsidR="00116BDD" w:rsidRPr="00116BDD" w:rsidRDefault="00116BDD" w:rsidP="00410E8A">
      <w:pPr>
        <w:ind w:left="-567"/>
        <w:rPr>
          <w:i/>
          <w:sz w:val="20"/>
          <w:szCs w:val="20"/>
        </w:rPr>
      </w:pPr>
      <w:r>
        <w:rPr>
          <w:i/>
          <w:sz w:val="20"/>
          <w:szCs w:val="20"/>
        </w:rPr>
        <w:t>This form</w:t>
      </w:r>
      <w:r w:rsidR="00924361">
        <w:rPr>
          <w:i/>
          <w:sz w:val="20"/>
          <w:szCs w:val="20"/>
        </w:rPr>
        <w:t xml:space="preserve"> must be submitted no later</w:t>
      </w:r>
      <w:r>
        <w:rPr>
          <w:i/>
          <w:sz w:val="20"/>
          <w:szCs w:val="20"/>
        </w:rPr>
        <w:t xml:space="preserve"> </w:t>
      </w:r>
      <w:r w:rsidR="00924361">
        <w:rPr>
          <w:i/>
          <w:sz w:val="20"/>
          <w:szCs w:val="20"/>
        </w:rPr>
        <w:t xml:space="preserve">than </w:t>
      </w:r>
      <w:r w:rsidR="00924361">
        <w:rPr>
          <w:b/>
          <w:i/>
          <w:sz w:val="20"/>
          <w:szCs w:val="20"/>
        </w:rPr>
        <w:t>7 days</w:t>
      </w:r>
      <w:r w:rsidR="00924361">
        <w:rPr>
          <w:i/>
          <w:sz w:val="20"/>
          <w:szCs w:val="20"/>
        </w:rPr>
        <w:t xml:space="preserve"> after receipt of grant expiration notice, or </w:t>
      </w:r>
      <w:r>
        <w:rPr>
          <w:b/>
          <w:i/>
          <w:sz w:val="20"/>
          <w:szCs w:val="20"/>
        </w:rPr>
        <w:t>90 days</w:t>
      </w:r>
      <w:r>
        <w:rPr>
          <w:i/>
          <w:sz w:val="20"/>
          <w:szCs w:val="20"/>
        </w:rPr>
        <w:t xml:space="preserve"> prior to the original</w:t>
      </w:r>
      <w:r w:rsidR="00D66A06">
        <w:rPr>
          <w:i/>
          <w:sz w:val="20"/>
          <w:szCs w:val="20"/>
        </w:rPr>
        <w:t xml:space="preserve"> award</w:t>
      </w:r>
      <w:r>
        <w:rPr>
          <w:i/>
          <w:sz w:val="20"/>
          <w:szCs w:val="20"/>
        </w:rPr>
        <w:t xml:space="preserve"> end date, otherwise the account will be automatically closed.</w:t>
      </w:r>
    </w:p>
    <w:p w14:paraId="64D6001A" w14:textId="77777777" w:rsidR="000D390B" w:rsidRDefault="000D390B" w:rsidP="00410E8A">
      <w:pPr>
        <w:ind w:left="-567"/>
        <w:rPr>
          <w:i/>
          <w:sz w:val="20"/>
          <w:szCs w:val="20"/>
        </w:rPr>
      </w:pPr>
    </w:p>
    <w:p w14:paraId="00CEBF10" w14:textId="4BEBBD6B" w:rsidR="000D390B" w:rsidRPr="000D390B" w:rsidRDefault="00410E8A" w:rsidP="00410E8A">
      <w:pPr>
        <w:ind w:left="-567"/>
        <w:rPr>
          <w:i/>
          <w:sz w:val="20"/>
          <w:szCs w:val="20"/>
        </w:rPr>
      </w:pPr>
      <w:r w:rsidRPr="00410E8A">
        <w:rPr>
          <w:sz w:val="20"/>
          <w:szCs w:val="20"/>
        </w:rPr>
        <w:t>Type of Grant</w:t>
      </w:r>
      <w:r>
        <w:rPr>
          <w:noProof/>
          <w:lang w:val="en-US"/>
        </w:rPr>
        <w:t xml:space="preserve">: </w:t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="000D390B">
        <w:rPr>
          <w:noProof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D390B">
        <w:rPr>
          <w:noProof/>
          <w:lang w:val="en-US"/>
        </w:rPr>
        <w:instrText xml:space="preserve"> FORMCHECKBOX </w:instrText>
      </w:r>
      <w:r w:rsidR="003E5641">
        <w:rPr>
          <w:noProof/>
          <w:lang w:val="en-US"/>
        </w:rPr>
      </w:r>
      <w:r w:rsidR="003E5641">
        <w:rPr>
          <w:noProof/>
          <w:lang w:val="en-US"/>
        </w:rPr>
        <w:fldChar w:fldCharType="separate"/>
      </w:r>
      <w:r w:rsidR="000D390B">
        <w:rPr>
          <w:noProof/>
          <w:lang w:val="en-US"/>
        </w:rPr>
        <w:fldChar w:fldCharType="end"/>
      </w:r>
      <w:r w:rsidR="000D390B">
        <w:rPr>
          <w:noProof/>
          <w:lang w:val="en-US"/>
        </w:rPr>
        <w:t xml:space="preserve"> </w:t>
      </w:r>
      <w:r w:rsidR="000D390B" w:rsidRPr="000D390B">
        <w:rPr>
          <w:noProof/>
          <w:sz w:val="20"/>
          <w:szCs w:val="20"/>
          <w:lang w:val="en-US"/>
        </w:rPr>
        <w:t>SSHRC</w:t>
      </w:r>
      <w:r w:rsidR="000D390B">
        <w:rPr>
          <w:noProof/>
          <w:lang w:val="en-US"/>
        </w:rPr>
        <w:tab/>
      </w:r>
      <w:r>
        <w:rPr>
          <w:noProof/>
          <w:lang w:val="en-US"/>
        </w:rPr>
        <w:tab/>
      </w:r>
      <w:r w:rsidR="000D390B">
        <w:rPr>
          <w:noProof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D390B">
        <w:rPr>
          <w:noProof/>
          <w:lang w:val="en-US"/>
        </w:rPr>
        <w:instrText xml:space="preserve"> FORMCHECKBOX </w:instrText>
      </w:r>
      <w:r w:rsidR="003E5641">
        <w:rPr>
          <w:noProof/>
          <w:lang w:val="en-US"/>
        </w:rPr>
      </w:r>
      <w:r w:rsidR="003E5641">
        <w:rPr>
          <w:noProof/>
          <w:lang w:val="en-US"/>
        </w:rPr>
        <w:fldChar w:fldCharType="separate"/>
      </w:r>
      <w:r w:rsidR="000D390B">
        <w:rPr>
          <w:noProof/>
          <w:lang w:val="en-US"/>
        </w:rPr>
        <w:fldChar w:fldCharType="end"/>
      </w:r>
      <w:r w:rsidR="000D390B">
        <w:rPr>
          <w:noProof/>
          <w:lang w:val="en-US"/>
        </w:rPr>
        <w:t xml:space="preserve"> </w:t>
      </w:r>
      <w:r w:rsidR="000D390B" w:rsidRPr="000D390B">
        <w:rPr>
          <w:noProof/>
          <w:sz w:val="20"/>
          <w:szCs w:val="20"/>
          <w:lang w:val="en-US"/>
        </w:rPr>
        <w:t>Hampton</w:t>
      </w:r>
    </w:p>
    <w:p w14:paraId="0912608A" w14:textId="77777777" w:rsidR="00382C4E" w:rsidRPr="00382C4E" w:rsidRDefault="00382C4E" w:rsidP="00382C4E">
      <w:pPr>
        <w:rPr>
          <w:i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3571"/>
        <w:gridCol w:w="1545"/>
        <w:gridCol w:w="1545"/>
        <w:gridCol w:w="3091"/>
      </w:tblGrid>
      <w:tr w:rsidR="0054376E" w14:paraId="692AA453" w14:textId="77777777" w:rsidTr="002124D7">
        <w:trPr>
          <w:cantSplit/>
          <w:trHeight w:val="750"/>
        </w:trPr>
        <w:tc>
          <w:tcPr>
            <w:tcW w:w="3571" w:type="dxa"/>
          </w:tcPr>
          <w:p w14:paraId="30FFC8E8" w14:textId="77777777" w:rsidR="0054376E" w:rsidRPr="0054376E" w:rsidRDefault="0054376E" w:rsidP="0054376E">
            <w:pPr>
              <w:rPr>
                <w:sz w:val="20"/>
                <w:szCs w:val="20"/>
              </w:rPr>
            </w:pPr>
            <w:r w:rsidRPr="0054376E">
              <w:rPr>
                <w:sz w:val="20"/>
                <w:szCs w:val="20"/>
              </w:rPr>
              <w:t>Applicant’s surname</w:t>
            </w:r>
          </w:p>
          <w:p w14:paraId="5FCB3051" w14:textId="77777777" w:rsidR="0054376E" w:rsidRPr="00463271" w:rsidRDefault="00463271" w:rsidP="0054376E">
            <w:r w:rsidRPr="00463271"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 w:rsidRPr="00463271">
              <w:instrText xml:space="preserve"> FORMTEXT </w:instrText>
            </w:r>
            <w:r w:rsidRPr="00463271">
              <w:fldChar w:fldCharType="separate"/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fldChar w:fldCharType="end"/>
            </w:r>
            <w:bookmarkEnd w:id="0"/>
          </w:p>
          <w:p w14:paraId="11096A92" w14:textId="77777777" w:rsidR="0054376E" w:rsidRPr="0054376E" w:rsidRDefault="0054376E" w:rsidP="0054376E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14:paraId="314A2008" w14:textId="77777777" w:rsidR="0054376E" w:rsidRDefault="0054376E" w:rsidP="0054376E">
            <w:pPr>
              <w:rPr>
                <w:sz w:val="20"/>
                <w:szCs w:val="20"/>
              </w:rPr>
            </w:pPr>
            <w:r w:rsidRPr="0054376E">
              <w:rPr>
                <w:sz w:val="20"/>
                <w:szCs w:val="20"/>
              </w:rPr>
              <w:t>Applicant’s first name</w:t>
            </w:r>
          </w:p>
          <w:p w14:paraId="03BBA734" w14:textId="77777777" w:rsidR="00463271" w:rsidRPr="00463271" w:rsidRDefault="00463271" w:rsidP="0054376E">
            <w:r w:rsidRPr="0046327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63271">
              <w:instrText xml:space="preserve"> FORMTEXT </w:instrText>
            </w:r>
            <w:r w:rsidRPr="00463271">
              <w:fldChar w:fldCharType="separate"/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fldChar w:fldCharType="end"/>
            </w:r>
            <w:bookmarkEnd w:id="1"/>
          </w:p>
        </w:tc>
        <w:tc>
          <w:tcPr>
            <w:tcW w:w="3091" w:type="dxa"/>
          </w:tcPr>
          <w:p w14:paraId="510A36A1" w14:textId="77777777" w:rsidR="0054376E" w:rsidRDefault="0054376E" w:rsidP="0054376E">
            <w:pPr>
              <w:rPr>
                <w:sz w:val="20"/>
                <w:szCs w:val="20"/>
              </w:rPr>
            </w:pPr>
            <w:r w:rsidRPr="0054376E">
              <w:rPr>
                <w:sz w:val="20"/>
                <w:szCs w:val="20"/>
              </w:rPr>
              <w:t>Academic Rank</w:t>
            </w:r>
          </w:p>
          <w:p w14:paraId="0FDE95EF" w14:textId="77777777" w:rsidR="00463271" w:rsidRPr="00463271" w:rsidRDefault="00463271" w:rsidP="0054376E">
            <w:r w:rsidRPr="0046327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63271">
              <w:instrText xml:space="preserve"> FORMTEXT </w:instrText>
            </w:r>
            <w:r w:rsidRPr="00463271">
              <w:fldChar w:fldCharType="separate"/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fldChar w:fldCharType="end"/>
            </w:r>
            <w:bookmarkEnd w:id="2"/>
          </w:p>
        </w:tc>
      </w:tr>
      <w:tr w:rsidR="0054376E" w14:paraId="1B63067B" w14:textId="77777777" w:rsidTr="002124D7">
        <w:trPr>
          <w:cantSplit/>
          <w:trHeight w:val="750"/>
        </w:trPr>
        <w:tc>
          <w:tcPr>
            <w:tcW w:w="3571" w:type="dxa"/>
          </w:tcPr>
          <w:p w14:paraId="23EEEE54" w14:textId="77777777" w:rsidR="0054376E" w:rsidRPr="0054376E" w:rsidRDefault="0054376E" w:rsidP="0054376E">
            <w:pPr>
              <w:rPr>
                <w:sz w:val="20"/>
                <w:szCs w:val="20"/>
              </w:rPr>
            </w:pPr>
            <w:r w:rsidRPr="0054376E">
              <w:rPr>
                <w:sz w:val="20"/>
                <w:szCs w:val="20"/>
              </w:rPr>
              <w:t>Department</w:t>
            </w:r>
          </w:p>
          <w:p w14:paraId="2039CEC1" w14:textId="77777777" w:rsidR="0054376E" w:rsidRPr="00463271" w:rsidRDefault="00463271" w:rsidP="0054376E">
            <w:r w:rsidRPr="0046327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63271">
              <w:instrText xml:space="preserve"> FORMTEXT </w:instrText>
            </w:r>
            <w:r w:rsidRPr="00463271">
              <w:fldChar w:fldCharType="separate"/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fldChar w:fldCharType="end"/>
            </w:r>
            <w:bookmarkEnd w:id="3"/>
          </w:p>
          <w:p w14:paraId="64BD8B77" w14:textId="77777777" w:rsidR="0054376E" w:rsidRPr="0054376E" w:rsidRDefault="0054376E" w:rsidP="0054376E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2"/>
          </w:tcPr>
          <w:p w14:paraId="569C4DC3" w14:textId="77777777" w:rsidR="0054376E" w:rsidRDefault="0054376E" w:rsidP="0054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14:paraId="45602382" w14:textId="77777777" w:rsidR="00463271" w:rsidRPr="00463271" w:rsidRDefault="00463271" w:rsidP="0054376E">
            <w:r w:rsidRPr="0046327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63271">
              <w:instrText xml:space="preserve"> FORMTEXT </w:instrText>
            </w:r>
            <w:r w:rsidRPr="00463271">
              <w:fldChar w:fldCharType="separate"/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fldChar w:fldCharType="end"/>
            </w:r>
            <w:bookmarkEnd w:id="4"/>
          </w:p>
        </w:tc>
        <w:tc>
          <w:tcPr>
            <w:tcW w:w="3091" w:type="dxa"/>
          </w:tcPr>
          <w:p w14:paraId="143EFAC3" w14:textId="77777777" w:rsidR="0054376E" w:rsidRDefault="0054376E" w:rsidP="00543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  <w:p w14:paraId="4F26B7B9" w14:textId="77777777" w:rsidR="00463271" w:rsidRPr="00463271" w:rsidRDefault="00463271" w:rsidP="00463271">
            <w:pPr>
              <w:jc w:val="both"/>
            </w:pPr>
            <w:r w:rsidRPr="0046327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63271">
              <w:instrText xml:space="preserve"> FORMTEXT </w:instrText>
            </w:r>
            <w:r w:rsidRPr="00463271">
              <w:fldChar w:fldCharType="separate"/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fldChar w:fldCharType="end"/>
            </w:r>
            <w:bookmarkEnd w:id="5"/>
          </w:p>
        </w:tc>
      </w:tr>
      <w:tr w:rsidR="0054376E" w14:paraId="20E4A23A" w14:textId="77777777" w:rsidTr="002124D7">
        <w:trPr>
          <w:cantSplit/>
          <w:trHeight w:hRule="exact" w:val="156"/>
        </w:trPr>
        <w:tc>
          <w:tcPr>
            <w:tcW w:w="3571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40FC6118" w14:textId="77777777" w:rsidR="0054376E" w:rsidRDefault="0054376E" w:rsidP="0054376E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D25A957" w14:textId="77777777" w:rsidR="0054376E" w:rsidRPr="00360658" w:rsidRDefault="0054376E" w:rsidP="00543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8DE3D5C" w14:textId="77777777" w:rsidR="0054376E" w:rsidRDefault="0054376E" w:rsidP="0054376E">
            <w:pPr>
              <w:jc w:val="center"/>
              <w:rPr>
                <w:sz w:val="28"/>
                <w:szCs w:val="28"/>
              </w:rPr>
            </w:pPr>
          </w:p>
        </w:tc>
      </w:tr>
      <w:tr w:rsidR="0054376E" w14:paraId="74B61063" w14:textId="77777777" w:rsidTr="002124D7">
        <w:trPr>
          <w:cantSplit/>
          <w:trHeight w:val="820"/>
        </w:trPr>
        <w:tc>
          <w:tcPr>
            <w:tcW w:w="9752" w:type="dxa"/>
            <w:gridSpan w:val="4"/>
          </w:tcPr>
          <w:p w14:paraId="7E30608F" w14:textId="77777777" w:rsidR="0054376E" w:rsidRPr="00360658" w:rsidRDefault="00360658" w:rsidP="00360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Research</w:t>
            </w:r>
          </w:p>
          <w:p w14:paraId="34644024" w14:textId="77777777" w:rsidR="00360658" w:rsidRDefault="00463271" w:rsidP="00747496">
            <w:r w:rsidRPr="0046327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63271">
              <w:instrText xml:space="preserve"> FORMTEXT </w:instrText>
            </w:r>
            <w:r w:rsidRPr="00463271">
              <w:fldChar w:fldCharType="separate"/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rPr>
                <w:noProof/>
              </w:rPr>
              <w:t> </w:t>
            </w:r>
            <w:r w:rsidRPr="00463271">
              <w:fldChar w:fldCharType="end"/>
            </w:r>
            <w:bookmarkEnd w:id="6"/>
          </w:p>
          <w:p w14:paraId="7F36CF27" w14:textId="620351C1" w:rsidR="00747496" w:rsidRPr="00747496" w:rsidRDefault="00747496" w:rsidP="00747496"/>
        </w:tc>
      </w:tr>
      <w:tr w:rsidR="00360658" w14:paraId="650DFC0D" w14:textId="77777777" w:rsidTr="002124D7">
        <w:trPr>
          <w:cantSplit/>
          <w:trHeight w:val="750"/>
        </w:trPr>
        <w:tc>
          <w:tcPr>
            <w:tcW w:w="5116" w:type="dxa"/>
            <w:gridSpan w:val="2"/>
          </w:tcPr>
          <w:p w14:paraId="079FA4AC" w14:textId="77777777" w:rsidR="00360658" w:rsidRDefault="00360658" w:rsidP="00360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End Date</w:t>
            </w:r>
          </w:p>
          <w:p w14:paraId="0CFBBCB4" w14:textId="2C8F22F1" w:rsidR="00382C4E" w:rsidRPr="00382C4E" w:rsidRDefault="00463271" w:rsidP="00382C4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3735DB1" w14:textId="77777777" w:rsidR="00360658" w:rsidRPr="00360658" w:rsidRDefault="00360658" w:rsidP="00360658">
            <w:pPr>
              <w:rPr>
                <w:sz w:val="20"/>
                <w:szCs w:val="20"/>
              </w:rPr>
            </w:pPr>
          </w:p>
        </w:tc>
        <w:tc>
          <w:tcPr>
            <w:tcW w:w="4636" w:type="dxa"/>
            <w:gridSpan w:val="2"/>
          </w:tcPr>
          <w:p w14:paraId="5BDE3846" w14:textId="77777777" w:rsidR="00360658" w:rsidRDefault="00360658" w:rsidP="00360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Approximate unspent balance by end date</w:t>
            </w:r>
          </w:p>
          <w:p w14:paraId="7721C1A0" w14:textId="77777777" w:rsidR="00463271" w:rsidRPr="007C25DE" w:rsidRDefault="007C25DE" w:rsidP="0036065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60658" w14:paraId="54AE317F" w14:textId="77777777" w:rsidTr="002124D7">
        <w:trPr>
          <w:cantSplit/>
          <w:trHeight w:hRule="exact" w:val="156"/>
        </w:trPr>
        <w:tc>
          <w:tcPr>
            <w:tcW w:w="9752" w:type="dxa"/>
            <w:gridSpan w:val="4"/>
            <w:shd w:val="clear" w:color="auto" w:fill="BFBFBF" w:themeFill="background1" w:themeFillShade="BF"/>
          </w:tcPr>
          <w:p w14:paraId="648B7256" w14:textId="77777777" w:rsidR="00360658" w:rsidRDefault="00360658" w:rsidP="0054376E">
            <w:pPr>
              <w:jc w:val="center"/>
              <w:rPr>
                <w:sz w:val="28"/>
                <w:szCs w:val="28"/>
              </w:rPr>
            </w:pPr>
          </w:p>
        </w:tc>
      </w:tr>
      <w:tr w:rsidR="00360658" w14:paraId="7C48D687" w14:textId="77777777" w:rsidTr="002124D7">
        <w:trPr>
          <w:cantSplit/>
          <w:trHeight w:val="2197"/>
        </w:trPr>
        <w:tc>
          <w:tcPr>
            <w:tcW w:w="9752" w:type="dxa"/>
            <w:gridSpan w:val="4"/>
          </w:tcPr>
          <w:p w14:paraId="39ADB053" w14:textId="33588438" w:rsidR="00360658" w:rsidRDefault="00360658" w:rsidP="00360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</w:t>
            </w:r>
            <w:r w:rsidR="00410E8A">
              <w:rPr>
                <w:sz w:val="20"/>
                <w:szCs w:val="20"/>
              </w:rPr>
              <w:t xml:space="preserve">de a detailed explanation </w:t>
            </w:r>
            <w:r>
              <w:rPr>
                <w:sz w:val="20"/>
                <w:szCs w:val="20"/>
              </w:rPr>
              <w:t>why you have been unable to use the funds by the given deadline</w:t>
            </w:r>
          </w:p>
          <w:p w14:paraId="4EC33EC4" w14:textId="70946E4C" w:rsidR="00360658" w:rsidRPr="002345DB" w:rsidRDefault="007C25DE" w:rsidP="0046327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334BC171" w14:textId="77777777" w:rsidR="00360658" w:rsidRDefault="00360658" w:rsidP="00360658">
            <w:pPr>
              <w:jc w:val="center"/>
              <w:rPr>
                <w:sz w:val="28"/>
                <w:szCs w:val="28"/>
              </w:rPr>
            </w:pPr>
          </w:p>
        </w:tc>
      </w:tr>
      <w:tr w:rsidR="00360658" w14:paraId="4A0EE478" w14:textId="77777777" w:rsidTr="002124D7">
        <w:trPr>
          <w:cantSplit/>
          <w:trHeight w:val="2529"/>
        </w:trPr>
        <w:tc>
          <w:tcPr>
            <w:tcW w:w="9752" w:type="dxa"/>
            <w:gridSpan w:val="4"/>
          </w:tcPr>
          <w:p w14:paraId="115AE804" w14:textId="77777777" w:rsidR="00360658" w:rsidRPr="00360658" w:rsidRDefault="00360658" w:rsidP="00360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a brief budget breakdown of how you intend to use the remaining funds</w:t>
            </w:r>
          </w:p>
          <w:p w14:paraId="2DB52EC8" w14:textId="145A8B08" w:rsidR="00360658" w:rsidRPr="002345DB" w:rsidRDefault="007C25DE" w:rsidP="002345D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1AD0746B" w14:textId="77777777" w:rsidR="00360658" w:rsidRDefault="00360658" w:rsidP="00360658">
            <w:pPr>
              <w:jc w:val="center"/>
              <w:rPr>
                <w:sz w:val="28"/>
                <w:szCs w:val="28"/>
              </w:rPr>
            </w:pPr>
            <w:bookmarkStart w:id="11" w:name="_GoBack"/>
            <w:bookmarkEnd w:id="11"/>
          </w:p>
        </w:tc>
      </w:tr>
      <w:tr w:rsidR="00463271" w14:paraId="0EEB8BA8" w14:textId="77777777" w:rsidTr="002124D7">
        <w:trPr>
          <w:cantSplit/>
          <w:trHeight w:val="1064"/>
        </w:trPr>
        <w:tc>
          <w:tcPr>
            <w:tcW w:w="9752" w:type="dxa"/>
            <w:gridSpan w:val="4"/>
          </w:tcPr>
          <w:p w14:paraId="385FA0E4" w14:textId="77777777" w:rsidR="00463271" w:rsidRDefault="00463271" w:rsidP="0046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Extended End Date (three months after Current End Date)</w:t>
            </w:r>
          </w:p>
          <w:p w14:paraId="47AC27BD" w14:textId="77777777" w:rsidR="00463271" w:rsidRPr="007C25DE" w:rsidRDefault="007C25DE" w:rsidP="0046327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327D607E" w14:textId="687116AA" w:rsidR="00463271" w:rsidRPr="00382C4E" w:rsidRDefault="00382C4E" w:rsidP="00382C4E">
            <w:pPr>
              <w:rPr>
                <w:noProof/>
                <w:lang w:val="en-US"/>
              </w:rPr>
            </w:pPr>
            <w:r w:rsidRPr="00382C4E">
              <w:rPr>
                <w:i/>
                <w:sz w:val="20"/>
                <w:szCs w:val="20"/>
              </w:rPr>
              <w:t xml:space="preserve">Please note that only three-month extensions will be permitted. In </w:t>
            </w:r>
            <w:r w:rsidR="00BB18C2">
              <w:rPr>
                <w:i/>
                <w:sz w:val="20"/>
                <w:szCs w:val="20"/>
              </w:rPr>
              <w:t>exceptional</w:t>
            </w:r>
            <w:r w:rsidRPr="00382C4E">
              <w:rPr>
                <w:i/>
                <w:sz w:val="20"/>
                <w:szCs w:val="20"/>
              </w:rPr>
              <w:t xml:space="preserve"> circumstances, a six-month extension may be considered</w:t>
            </w:r>
            <w:r w:rsidRPr="00463271">
              <w:rPr>
                <w:i/>
              </w:rPr>
              <w:t>.</w:t>
            </w:r>
            <w:r w:rsidRPr="006C4869">
              <w:rPr>
                <w:noProof/>
                <w:lang w:val="en-US"/>
              </w:rPr>
              <w:t xml:space="preserve"> </w:t>
            </w:r>
          </w:p>
        </w:tc>
      </w:tr>
    </w:tbl>
    <w:p w14:paraId="6941896E" w14:textId="77777777" w:rsidR="007C25DE" w:rsidRDefault="007C25DE" w:rsidP="007C25DE">
      <w:pPr>
        <w:rPr>
          <w:noProof/>
          <w:lang w:val="en-US"/>
        </w:rPr>
      </w:pPr>
    </w:p>
    <w:p w14:paraId="195B3C55" w14:textId="697EE384" w:rsidR="00116BDD" w:rsidRPr="00116BDD" w:rsidRDefault="007C25DE" w:rsidP="002345DB">
      <w:pPr>
        <w:ind w:left="-142" w:hanging="425"/>
        <w:rPr>
          <w:sz w:val="20"/>
          <w:szCs w:val="20"/>
        </w:rPr>
      </w:pPr>
      <w:r>
        <w:rPr>
          <w:noProof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>
        <w:rPr>
          <w:noProof/>
          <w:lang w:val="en-US"/>
        </w:rPr>
        <w:instrText xml:space="preserve"> FORMCHECKBOX </w:instrText>
      </w:r>
      <w:r w:rsidR="003E5641">
        <w:rPr>
          <w:noProof/>
          <w:lang w:val="en-US"/>
        </w:rPr>
      </w:r>
      <w:r w:rsidR="003E5641">
        <w:rPr>
          <w:noProof/>
          <w:lang w:val="en-US"/>
        </w:rPr>
        <w:fldChar w:fldCharType="separate"/>
      </w:r>
      <w:r>
        <w:rPr>
          <w:noProof/>
          <w:lang w:val="en-US"/>
        </w:rPr>
        <w:fldChar w:fldCharType="end"/>
      </w:r>
      <w:bookmarkEnd w:id="13"/>
      <w:r w:rsidRPr="007C25DE">
        <w:t xml:space="preserve"> </w:t>
      </w:r>
      <w:r w:rsidR="00410E8A">
        <w:tab/>
      </w:r>
      <w:r w:rsidRPr="00382C4E">
        <w:rPr>
          <w:sz w:val="20"/>
          <w:szCs w:val="20"/>
        </w:rPr>
        <w:t xml:space="preserve">Please check this box to confirm that you will use the remaining funds according to the </w:t>
      </w:r>
      <w:r w:rsidR="00382C4E">
        <w:rPr>
          <w:sz w:val="20"/>
          <w:szCs w:val="20"/>
        </w:rPr>
        <w:t xml:space="preserve">original </w:t>
      </w:r>
      <w:r w:rsidRPr="00382C4E">
        <w:rPr>
          <w:sz w:val="20"/>
          <w:szCs w:val="20"/>
        </w:rPr>
        <w:t xml:space="preserve">application </w:t>
      </w:r>
    </w:p>
    <w:sectPr w:rsidR="00116BDD" w:rsidRPr="00116BDD" w:rsidSect="002345DB">
      <w:footerReference w:type="default" r:id="rId8"/>
      <w:pgSz w:w="12240" w:h="15840"/>
      <w:pgMar w:top="567" w:right="1041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D14D5" w14:textId="77777777" w:rsidR="002345DB" w:rsidRDefault="002345DB" w:rsidP="002345DB">
      <w:r>
        <w:separator/>
      </w:r>
    </w:p>
  </w:endnote>
  <w:endnote w:type="continuationSeparator" w:id="0">
    <w:p w14:paraId="04B7ABF6" w14:textId="77777777" w:rsidR="002345DB" w:rsidRDefault="002345DB" w:rsidP="0023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963DF" w14:textId="59DE46E3" w:rsidR="002345DB" w:rsidRPr="002345DB" w:rsidRDefault="002345DB" w:rsidP="002345DB">
    <w:pPr>
      <w:ind w:left="-567"/>
      <w:rPr>
        <w:sz w:val="20"/>
        <w:szCs w:val="20"/>
      </w:rPr>
    </w:pPr>
    <w:r>
      <w:rPr>
        <w:sz w:val="20"/>
        <w:szCs w:val="20"/>
      </w:rPr>
      <w:t>Upon completion, please submit this form to: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3E5641">
      <w:rPr>
        <w:b/>
        <w:sz w:val="20"/>
        <w:szCs w:val="20"/>
      </w:rPr>
      <w:t>Danica Kell</w:t>
    </w:r>
  </w:p>
  <w:p w14:paraId="74991722" w14:textId="02AF3AA9" w:rsidR="002345DB" w:rsidRDefault="003E5641" w:rsidP="002345DB">
    <w:pPr>
      <w:ind w:left="3600" w:firstLine="720"/>
      <w:rPr>
        <w:sz w:val="20"/>
        <w:szCs w:val="20"/>
      </w:rPr>
    </w:pPr>
    <w:r>
      <w:rPr>
        <w:sz w:val="20"/>
        <w:szCs w:val="20"/>
      </w:rPr>
      <w:t>SSH Research Development Officer</w:t>
    </w:r>
  </w:p>
  <w:p w14:paraId="30196B3D" w14:textId="45AAD837" w:rsidR="002345DB" w:rsidRDefault="003E5641" w:rsidP="002345DB">
    <w:pPr>
      <w:ind w:left="3600" w:firstLine="720"/>
      <w:rPr>
        <w:sz w:val="20"/>
        <w:szCs w:val="20"/>
      </w:rPr>
    </w:pPr>
    <w:r>
      <w:rPr>
        <w:sz w:val="20"/>
        <w:szCs w:val="20"/>
      </w:rPr>
      <w:t>SPARC</w:t>
    </w:r>
  </w:p>
  <w:p w14:paraId="77425A07" w14:textId="5812B0EF" w:rsidR="002345DB" w:rsidRDefault="002345DB" w:rsidP="002345DB">
    <w:pPr>
      <w:ind w:left="3600" w:firstLine="720"/>
      <w:rPr>
        <w:sz w:val="20"/>
        <w:szCs w:val="20"/>
      </w:rPr>
    </w:pPr>
    <w:r w:rsidRPr="00116BDD">
      <w:rPr>
        <w:b/>
        <w:sz w:val="20"/>
        <w:szCs w:val="20"/>
      </w:rPr>
      <w:t>Email:</w:t>
    </w:r>
    <w:r w:rsidR="003E5641">
      <w:rPr>
        <w:rStyle w:val="Hyperlink"/>
        <w:sz w:val="20"/>
        <w:szCs w:val="20"/>
      </w:rPr>
      <w:t xml:space="preserve"> </w:t>
    </w:r>
    <w:hyperlink r:id="rId1" w:history="1">
      <w:r w:rsidR="003E5641" w:rsidRPr="003E5641">
        <w:rPr>
          <w:rStyle w:val="Hyperlink"/>
          <w:sz w:val="20"/>
          <w:szCs w:val="20"/>
        </w:rPr>
        <w:t>danica.kell@ubc.ca</w:t>
      </w:r>
    </w:hyperlink>
  </w:p>
  <w:p w14:paraId="3AD8AF48" w14:textId="578E368A" w:rsidR="002345DB" w:rsidRPr="002345DB" w:rsidRDefault="002345DB" w:rsidP="002345DB">
    <w:pPr>
      <w:ind w:left="3600" w:firstLine="720"/>
      <w:rPr>
        <w:sz w:val="20"/>
        <w:szCs w:val="20"/>
      </w:rPr>
    </w:pPr>
    <w:r w:rsidRPr="00116BDD">
      <w:rPr>
        <w:b/>
        <w:sz w:val="20"/>
        <w:szCs w:val="20"/>
      </w:rPr>
      <w:t>Tel:</w:t>
    </w:r>
    <w:r w:rsidR="003E5641">
      <w:rPr>
        <w:sz w:val="20"/>
        <w:szCs w:val="20"/>
      </w:rPr>
      <w:t xml:space="preserve"> 604 822 8778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332CE" w14:textId="77777777" w:rsidR="002345DB" w:rsidRDefault="002345DB" w:rsidP="002345DB">
      <w:r>
        <w:separator/>
      </w:r>
    </w:p>
  </w:footnote>
  <w:footnote w:type="continuationSeparator" w:id="0">
    <w:p w14:paraId="6FB7BF19" w14:textId="77777777" w:rsidR="002345DB" w:rsidRDefault="002345DB" w:rsidP="0023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6E"/>
    <w:rsid w:val="000845D8"/>
    <w:rsid w:val="000951F8"/>
    <w:rsid w:val="000D390B"/>
    <w:rsid w:val="00116BDD"/>
    <w:rsid w:val="002124D7"/>
    <w:rsid w:val="002145D5"/>
    <w:rsid w:val="002345DB"/>
    <w:rsid w:val="00360658"/>
    <w:rsid w:val="00380E73"/>
    <w:rsid w:val="00382C4E"/>
    <w:rsid w:val="003A470E"/>
    <w:rsid w:val="003E5641"/>
    <w:rsid w:val="0040382C"/>
    <w:rsid w:val="00410E8A"/>
    <w:rsid w:val="00463271"/>
    <w:rsid w:val="005176DD"/>
    <w:rsid w:val="0054376E"/>
    <w:rsid w:val="005F57C0"/>
    <w:rsid w:val="006C4869"/>
    <w:rsid w:val="00747496"/>
    <w:rsid w:val="007C25DE"/>
    <w:rsid w:val="008800C8"/>
    <w:rsid w:val="008D7041"/>
    <w:rsid w:val="008E7325"/>
    <w:rsid w:val="00924361"/>
    <w:rsid w:val="00954133"/>
    <w:rsid w:val="00A06466"/>
    <w:rsid w:val="00B10D64"/>
    <w:rsid w:val="00B160FC"/>
    <w:rsid w:val="00BB18C2"/>
    <w:rsid w:val="00D66A06"/>
    <w:rsid w:val="00D80DD1"/>
    <w:rsid w:val="00F23EAE"/>
    <w:rsid w:val="00F6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C6712"/>
  <w14:defaultImageDpi w14:val="300"/>
  <w15:docId w15:val="{71BE387D-5275-45B7-A43D-F1D475DE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7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54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6B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5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5DB"/>
  </w:style>
  <w:style w:type="paragraph" w:styleId="Footer">
    <w:name w:val="footer"/>
    <w:basedOn w:val="Normal"/>
    <w:link w:val="FooterChar"/>
    <w:uiPriority w:val="99"/>
    <w:unhideWhenUsed/>
    <w:rsid w:val="00234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5DB"/>
  </w:style>
  <w:style w:type="paragraph" w:styleId="BalloonText">
    <w:name w:val="Balloon Text"/>
    <w:basedOn w:val="Normal"/>
    <w:link w:val="BalloonTextChar"/>
    <w:uiPriority w:val="99"/>
    <w:semiHidden/>
    <w:unhideWhenUsed/>
    <w:rsid w:val="00380E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0E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E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E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E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serc-crsng.gc.ca/Professors-Professeurs/FinancialAdminGuide-GuideAdminFinancier/index_eng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danica.kell@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54A93E-CF81-4E47-BC8B-B61FBDE7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Research</dc:creator>
  <cp:keywords/>
  <dc:description/>
  <cp:lastModifiedBy>Kell, Danica</cp:lastModifiedBy>
  <cp:revision>3</cp:revision>
  <dcterms:created xsi:type="dcterms:W3CDTF">2017-08-08T19:26:00Z</dcterms:created>
  <dcterms:modified xsi:type="dcterms:W3CDTF">2019-10-10T18:10:00Z</dcterms:modified>
</cp:coreProperties>
</file>